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01" w:rsidRPr="00EC3501" w:rsidRDefault="00EC3501" w:rsidP="00EC3501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EC3501">
        <w:rPr>
          <w:rFonts w:ascii="Tahoma" w:eastAsia="Times New Roman" w:hAnsi="Tahoma" w:cs="Tahoma"/>
          <w:color w:val="222222"/>
          <w:kern w:val="36"/>
          <w:sz w:val="41"/>
          <w:szCs w:val="41"/>
        </w:rPr>
        <w:t>Ограничение в родительских правах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Ограничение родительских прав одного из родителей — это отобрание ребенка у одного из родителей без лишения его родительских прав, с передачей ребенка второму родителю, другим близким родственникам или органу опеки и попечительства.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Ограничение родительских прав допускается, если ребенка опасно оставлять с родителями (одним из них) по обстоятельствам, от родителей (одного из них) не зависящим: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— психическое расстройство;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— иное хроническое заболевание;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— стечение тяжелых обстоятельств;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— другие.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Также допускается ограничение родительских прав, если ребенка опасно оставлять с родителями (одним из них) из-за их поведения, но достаточных оснований для лишения родителей (одного из них) родительских прав нет.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Ограничивает родительские права только суд.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Соответствующее заявление может быть подано в суд: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вторым родителем или другим близким родственником (бабушкой, дедушкой, совершеннолетними братьями или сестрами);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органами и организациями, на которые законом возложены обязанности по охране прав несовершеннолетних детей (органом опеки и попечительства, комиссией по делам несовершеннолетних, организацией для детей-сирот и детей, оставшихся без попечения родителей, и др.);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дошкольными образовательными организациями, общеобразовательными организациями и другими организациями;</w:t>
      </w:r>
    </w:p>
    <w:p w:rsidR="00EC3501" w:rsidRPr="00EC3501" w:rsidRDefault="00EC3501" w:rsidP="00EC350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C3501">
        <w:rPr>
          <w:rFonts w:ascii="Tahoma" w:eastAsia="Times New Roman" w:hAnsi="Tahoma" w:cs="Tahoma"/>
          <w:color w:val="000000"/>
          <w:sz w:val="23"/>
          <w:szCs w:val="23"/>
        </w:rPr>
        <w:t>прокурором.</w:t>
      </w:r>
    </w:p>
    <w:p w:rsidR="00505CD3" w:rsidRDefault="00505CD3"/>
    <w:sectPr w:rsidR="0050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EC3501"/>
    <w:rsid w:val="00505CD3"/>
    <w:rsid w:val="00EC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632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2024-04-30T08:37:00Z</dcterms:created>
  <dcterms:modified xsi:type="dcterms:W3CDTF">2024-04-30T08:37:00Z</dcterms:modified>
</cp:coreProperties>
</file>